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24F9D">
      <w:pPr>
        <w:pStyle w:val="2"/>
        <w:keepNext w:val="0"/>
        <w:keepLines w:val="0"/>
        <w:pageBreakBefore/>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mallCaps/>
          <w:kern w:val="2"/>
          <w:sz w:val="32"/>
          <w:szCs w:val="32"/>
        </w:rPr>
        <w:t>附件</w:t>
      </w:r>
      <w:r>
        <w:rPr>
          <w:rFonts w:hint="eastAsia" w:ascii="仿宋_GB2312" w:hAnsi="仿宋_GB2312" w:eastAsia="仿宋_GB2312" w:cs="仿宋_GB2312"/>
          <w:b/>
          <w:bCs/>
          <w:smallCaps/>
          <w:kern w:val="2"/>
          <w:sz w:val="32"/>
          <w:szCs w:val="32"/>
          <w:lang w:val="en-US" w:eastAsia="zh-CN"/>
        </w:rPr>
        <w:t>1</w:t>
      </w:r>
      <w:r>
        <w:rPr>
          <w:rFonts w:hint="eastAsia" w:ascii="仿宋_GB2312" w:hAnsi="仿宋_GB2312" w:eastAsia="仿宋_GB2312" w:cs="仿宋_GB2312"/>
          <w:b/>
          <w:bCs/>
          <w:smallCaps/>
          <w:kern w:val="2"/>
          <w:sz w:val="32"/>
          <w:szCs w:val="32"/>
        </w:rPr>
        <w:t>：第四届“新华信用金兰杯”可持续发展优秀案例征集活动细则</w:t>
      </w:r>
    </w:p>
    <w:p w14:paraId="3DF4402D">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 xml:space="preserve"> </w:t>
      </w:r>
    </w:p>
    <w:p w14:paraId="74550782">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shd w:val="clear" w:fill="FFFFFF"/>
          <w:lang w:val="en-US" w:eastAsia="zh-CN" w:bidi="ar"/>
        </w:rPr>
        <w:t>一、案例征集对象：</w:t>
      </w:r>
    </w:p>
    <w:p w14:paraId="45AD6C3F">
      <w:pPr>
        <w:pStyle w:val="2"/>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mallCaps/>
          <w:kern w:val="2"/>
          <w:sz w:val="32"/>
          <w:szCs w:val="32"/>
        </w:rPr>
        <w:t>面向企业、机构、高等院校、科研机构、行业组织、地方政府部门、园区管理委员会等。</w:t>
      </w:r>
    </w:p>
    <w:p w14:paraId="4E383F3F">
      <w:pPr>
        <w:keepNext w:val="0"/>
        <w:keepLines w:val="0"/>
        <w:widowControl/>
        <w:numPr>
          <w:ilvl w:val="0"/>
          <w:numId w:val="0"/>
        </w:numPr>
        <w:suppressLineNumbers w:val="0"/>
        <w:kinsoku/>
        <w:wordWrap/>
        <w:overflowPunct/>
        <w:topLinePunct w:val="0"/>
        <w:autoSpaceDN/>
        <w:bidi w:val="0"/>
        <w:adjustRightInd/>
        <w:snapToGrid/>
        <w:spacing w:before="0" w:beforeAutospacing="0" w:after="0" w:afterAutospacing="0" w:line="560" w:lineRule="exact"/>
        <w:ind w:left="60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
        </w:rPr>
        <w:t>二、征集时间：</w:t>
      </w:r>
    </w:p>
    <w:p w14:paraId="33A86C94">
      <w:pPr>
        <w:keepNext w:val="0"/>
        <w:keepLines w:val="0"/>
        <w:widowControl/>
        <w:suppressLineNumbers w:val="0"/>
        <w:kinsoku/>
        <w:wordWrap/>
        <w:overflowPunct/>
        <w:topLinePunct w:val="0"/>
        <w:autoSpaceDN/>
        <w:bidi w:val="0"/>
        <w:adjustRightInd/>
        <w:snapToGrid/>
        <w:spacing w:before="0" w:beforeAutospacing="0" w:after="0" w:afterAutospacing="0" w:line="560" w:lineRule="exact"/>
        <w:ind w:left="60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2025年7月10</w:t>
      </w:r>
      <w:bookmarkStart w:id="5" w:name="_GoBack"/>
      <w:bookmarkEnd w:id="5"/>
      <w:r>
        <w:rPr>
          <w:rFonts w:hint="eastAsia" w:ascii="仿宋_GB2312" w:hAnsi="仿宋_GB2312" w:eastAsia="仿宋_GB2312" w:cs="仿宋_GB2312"/>
          <w:kern w:val="2"/>
          <w:sz w:val="32"/>
          <w:szCs w:val="32"/>
          <w:lang w:val="en-US" w:eastAsia="zh-CN" w:bidi="ar"/>
        </w:rPr>
        <w:t>日-9月30日</w:t>
      </w:r>
    </w:p>
    <w:p w14:paraId="7A069278">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shd w:val="clear" w:fill="FFFFFF"/>
          <w:lang w:val="en-US" w:eastAsia="zh-CN" w:bidi="ar"/>
        </w:rPr>
        <w:t>二、案例梳理、评价、发布流程：</w:t>
      </w:r>
    </w:p>
    <w:p w14:paraId="5A1146D3">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评审委员会组建：成立案例评审专家委员会，确定本次案例评价与评审的方法及规则。</w:t>
      </w:r>
    </w:p>
    <w:p w14:paraId="28CFAD36">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优秀案例评审：企业或机构在线提交征集材料，评审专家委员会</w:t>
      </w:r>
      <w:r>
        <w:rPr>
          <w:rFonts w:hint="eastAsia" w:ascii="仿宋_GB2312" w:hAnsi="仿宋_GB2312" w:eastAsia="仿宋_GB2312" w:cs="仿宋_GB2312"/>
          <w:b w:val="0"/>
          <w:bCs w:val="0"/>
          <w:kern w:val="0"/>
          <w:sz w:val="32"/>
          <w:szCs w:val="32"/>
          <w:lang w:val="en-US" w:eastAsia="zh-CN" w:bidi="ar"/>
        </w:rPr>
        <w:t>经过梳理、评价和评审，产生优秀案例名单。</w:t>
      </w:r>
    </w:p>
    <w:p w14:paraId="1BDA844D">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优秀案例结果发布：在年度可持续发展主题论坛上发布优秀案例名单，并为优秀案例企业颁发证书</w:t>
      </w:r>
      <w:r>
        <w:rPr>
          <w:rFonts w:hint="eastAsia" w:ascii="仿宋_GB2312" w:hAnsi="仿宋_GB2312" w:eastAsia="仿宋_GB2312" w:cs="仿宋_GB2312"/>
          <w:kern w:val="0"/>
          <w:sz w:val="32"/>
          <w:szCs w:val="32"/>
          <w:lang w:val="en-US" w:eastAsia="zh-CN" w:bidi="ar"/>
        </w:rPr>
        <w:t>。</w:t>
      </w:r>
    </w:p>
    <w:p w14:paraId="2A374A42">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三、申报说明</w:t>
      </w:r>
    </w:p>
    <w:p w14:paraId="2A049CCB">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shd w:val="clear" w:fill="FFFFFF"/>
          <w:lang w:val="en-US" w:eastAsia="zh-CN" w:bidi="ar"/>
        </w:rPr>
        <w:t>本次案例征集活动具体申报说明如下：</w:t>
      </w:r>
    </w:p>
    <w:p w14:paraId="2C93302D">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bidi="ar"/>
        </w:rPr>
        <w:t>（一）</w:t>
      </w:r>
      <w:r>
        <w:rPr>
          <w:rFonts w:hint="eastAsia" w:ascii="仿宋_GB2312" w:hAnsi="仿宋_GB2312" w:eastAsia="仿宋_GB2312" w:cs="仿宋_GB2312"/>
          <w:b/>
          <w:bCs w:val="0"/>
          <w:kern w:val="2"/>
          <w:sz w:val="32"/>
          <w:szCs w:val="32"/>
          <w:lang w:val="en-US" w:eastAsia="zh-CN" w:bidi="ar"/>
        </w:rPr>
        <w:t>征集资料要求</w:t>
      </w:r>
    </w:p>
    <w:p w14:paraId="0D7B1B0E">
      <w:pPr>
        <w:pStyle w:val="2"/>
        <w:keepNext w:val="0"/>
        <w:keepLines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420" w:leftChars="0" w:right="0" w:hanging="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所申报的案例应在申报之日前三个月正式启动或立项；</w:t>
      </w:r>
    </w:p>
    <w:p w14:paraId="58A96CAA">
      <w:pPr>
        <w:pStyle w:val="2"/>
        <w:keepNext w:val="0"/>
        <w:keepLines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420" w:leftChars="0" w:right="0" w:hanging="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所申报的案例应具有一定社会影响力；</w:t>
      </w:r>
    </w:p>
    <w:p w14:paraId="4558F7D8">
      <w:pPr>
        <w:pStyle w:val="2"/>
        <w:keepNext w:val="0"/>
        <w:keepLines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420" w:leftChars="0" w:right="0" w:hanging="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案例申报单位不得在三年内有重大负面事件；</w:t>
      </w:r>
    </w:p>
    <w:p w14:paraId="7A3FAC13">
      <w:pPr>
        <w:pStyle w:val="2"/>
        <w:keepNext w:val="0"/>
        <w:keepLines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420" w:leftChars="0" w:right="0" w:hanging="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专家组评委所在单位不在参评范围内。</w:t>
      </w:r>
    </w:p>
    <w:p w14:paraId="03C07112">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32"/>
          <w:lang w:val="en-US" w:eastAsia="zh-CN" w:bidi="ar"/>
        </w:rPr>
        <w:t>（二）</w:t>
      </w:r>
      <w:r>
        <w:rPr>
          <w:rFonts w:hint="eastAsia" w:ascii="仿宋_GB2312" w:hAnsi="仿宋_GB2312" w:eastAsia="仿宋_GB2312" w:cs="仿宋_GB2312"/>
          <w:b/>
          <w:bCs w:val="0"/>
          <w:kern w:val="2"/>
          <w:sz w:val="32"/>
          <w:szCs w:val="32"/>
          <w:lang w:val="en-US" w:eastAsia="zh-CN" w:bidi="ar"/>
        </w:rPr>
        <w:t>报送材料内容</w:t>
      </w:r>
    </w:p>
    <w:p w14:paraId="6913A956">
      <w:pPr>
        <w:pStyle w:val="2"/>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以下报送材料第1项为必须项，其他项为建议提交项，酌情提交。</w:t>
      </w:r>
    </w:p>
    <w:p w14:paraId="2F5872CD">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
        </w:rPr>
        <w:t>1、 在报名系统填写《第四届</w:t>
      </w:r>
      <w:r>
        <w:rPr>
          <w:rFonts w:hint="eastAsia" w:ascii="仿宋_GB2312" w:hAnsi="仿宋_GB2312" w:eastAsia="仿宋_GB2312" w:cs="仿宋_GB2312"/>
          <w:b/>
          <w:bCs/>
          <w:kern w:val="0"/>
          <w:sz w:val="32"/>
          <w:szCs w:val="32"/>
          <w:lang w:val="en-US" w:eastAsia="zh-CN" w:bidi="ar"/>
        </w:rPr>
        <w:t>“新华信用金兰杯”可持续发展优秀案例征集</w:t>
      </w:r>
      <w:r>
        <w:rPr>
          <w:rFonts w:hint="eastAsia" w:ascii="仿宋_GB2312" w:hAnsi="仿宋_GB2312" w:eastAsia="仿宋_GB2312" w:cs="仿宋_GB2312"/>
          <w:b/>
          <w:bCs/>
          <w:kern w:val="2"/>
          <w:sz w:val="32"/>
          <w:szCs w:val="32"/>
          <w:lang w:val="en-US" w:eastAsia="zh-CN" w:bidi="ar"/>
        </w:rPr>
        <w:t>申报表》，并按照格式要求上传承诺书盖章扫描件以及企业logo</w:t>
      </w:r>
      <w:r>
        <w:rPr>
          <w:rFonts w:hint="eastAsia" w:ascii="仿宋_GB2312" w:hAnsi="仿宋_GB2312" w:eastAsia="仿宋_GB2312" w:cs="仿宋_GB2312"/>
          <w:kern w:val="2"/>
          <w:sz w:val="32"/>
          <w:szCs w:val="32"/>
          <w:lang w:val="en-US" w:eastAsia="zh-CN" w:bidi="ar"/>
        </w:rPr>
        <w:t>；</w:t>
      </w:r>
    </w:p>
    <w:p w14:paraId="5FAFB9A0">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 案例申报单位2024年度社会责任报告/ESG报告/可持续发展报告（已公开版本）；</w:t>
      </w:r>
    </w:p>
    <w:p w14:paraId="1135238C">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3、 有关申报案例在环境、社会及公司治理、双碳实践、责任投资、可持续发展影响力建设、区域可持续发展等相关领域的公开新闻报道（附带链接）；</w:t>
      </w:r>
    </w:p>
    <w:p w14:paraId="1B0C8A02">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4、 案例申报单位本年度获评的与</w:t>
      </w:r>
      <w:bookmarkStart w:id="0" w:name="OLE_LINK2"/>
      <w:r>
        <w:rPr>
          <w:rFonts w:hint="eastAsia" w:ascii="仿宋_GB2312" w:hAnsi="仿宋_GB2312" w:eastAsia="仿宋_GB2312" w:cs="仿宋_GB2312"/>
          <w:kern w:val="2"/>
          <w:sz w:val="32"/>
          <w:szCs w:val="32"/>
          <w:lang w:val="en-US" w:eastAsia="zh-CN" w:bidi="ar"/>
        </w:rPr>
        <w:t>可持续发展（环境、社会及公司治理）</w:t>
      </w:r>
      <w:bookmarkEnd w:id="0"/>
      <w:r>
        <w:rPr>
          <w:rFonts w:hint="eastAsia" w:ascii="仿宋_GB2312" w:hAnsi="仿宋_GB2312" w:eastAsia="仿宋_GB2312" w:cs="仿宋_GB2312"/>
          <w:kern w:val="2"/>
          <w:sz w:val="32"/>
          <w:szCs w:val="32"/>
          <w:lang w:val="en-US" w:eastAsia="zh-CN" w:bidi="ar"/>
        </w:rPr>
        <w:t>相关的表彰；</w:t>
      </w:r>
    </w:p>
    <w:p w14:paraId="6078818A">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5、 其他案例申报单位相关制度文件、审计报告、加盖公章的证明文件；</w:t>
      </w:r>
    </w:p>
    <w:p w14:paraId="0363E102">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6、 除文字外的图片或微视频等补充材料。</w:t>
      </w:r>
    </w:p>
    <w:p w14:paraId="1CCFC623">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
        </w:rPr>
        <w:t>（三）报送时间</w:t>
      </w:r>
    </w:p>
    <w:p w14:paraId="772CDB70">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420" w:leftChars="0" w:right="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2025年7月1日-9月30日</w:t>
      </w:r>
    </w:p>
    <w:p w14:paraId="61877777">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kern w:val="2"/>
          <w:sz w:val="32"/>
          <w:szCs w:val="32"/>
          <w:lang w:val="en-US" w:eastAsia="zh-CN" w:bidi="ar"/>
        </w:rPr>
        <w:t>（四）报送方式</w:t>
      </w:r>
    </w:p>
    <w:p w14:paraId="2D6AC430">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420" w:leftChars="0" w:right="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2"/>
          <w:sz w:val="32"/>
          <w:szCs w:val="32"/>
          <w:lang w:val="en-US" w:eastAsia="zh-CN" w:bidi="ar"/>
        </w:rPr>
        <w:t>扫描海报二维码线上填报。</w:t>
      </w:r>
    </w:p>
    <w:p w14:paraId="03B389C7">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420" w:leftChars="0" w:right="0"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2"/>
          <w:sz w:val="32"/>
          <w:szCs w:val="32"/>
          <w:lang w:val="en-US" w:eastAsia="zh-CN" w:bidi="ar"/>
        </w:rPr>
        <w:t>附件可发送至</w:t>
      </w:r>
      <w:r>
        <w:rPr>
          <w:rFonts w:hint="eastAsia" w:ascii="仿宋_GB2312" w:hAnsi="仿宋_GB2312" w:eastAsia="仿宋_GB2312" w:cs="仿宋_GB2312"/>
          <w:kern w:val="0"/>
          <w:sz w:val="32"/>
          <w:szCs w:val="32"/>
          <w:lang w:val="en-US" w:eastAsia="zh-CN" w:bidi="ar"/>
        </w:rPr>
        <w:t>邮箱：</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"mailto:machen@xinhua.org" </w:instrText>
      </w:r>
      <w:r>
        <w:rPr>
          <w:rFonts w:hint="eastAsia" w:ascii="仿宋_GB2312" w:hAnsi="仿宋_GB2312" w:eastAsia="仿宋_GB2312" w:cs="仿宋_GB2312"/>
          <w:kern w:val="0"/>
          <w:sz w:val="32"/>
          <w:szCs w:val="32"/>
          <w:lang w:val="en-US" w:eastAsia="zh-CN" w:bidi="ar"/>
        </w:rPr>
        <w:fldChar w:fldCharType="separate"/>
      </w:r>
      <w:r>
        <w:rPr>
          <w:rStyle w:val="5"/>
          <w:rFonts w:hint="eastAsia" w:ascii="仿宋_GB2312" w:hAnsi="仿宋_GB2312" w:eastAsia="仿宋_GB2312" w:cs="仿宋_GB2312"/>
          <w:kern w:val="0"/>
          <w:sz w:val="32"/>
          <w:szCs w:val="32"/>
        </w:rPr>
        <w:t>esg@xinhua.org</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或cn_esg@163.com</w:t>
      </w:r>
    </w:p>
    <w:p w14:paraId="0C96741B">
      <w:pPr>
        <w:keepNext w:val="0"/>
        <w:keepLines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right="0"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kern w:val="2"/>
          <w:sz w:val="32"/>
          <w:szCs w:val="32"/>
          <w:lang w:val="en-US" w:eastAsia="zh-CN" w:bidi="ar"/>
        </w:rPr>
        <w:t>（五）问题咨询</w:t>
      </w:r>
    </w:p>
    <w:p w14:paraId="6307D914">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44" w:firstLineChars="13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邮箱：</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"mailto:machen@xinhua.org" </w:instrText>
      </w:r>
      <w:r>
        <w:rPr>
          <w:rFonts w:hint="eastAsia" w:ascii="仿宋_GB2312" w:hAnsi="仿宋_GB2312" w:eastAsia="仿宋_GB2312" w:cs="仿宋_GB2312"/>
          <w:kern w:val="0"/>
          <w:sz w:val="32"/>
          <w:szCs w:val="32"/>
          <w:lang w:val="en-US" w:eastAsia="zh-CN" w:bidi="ar"/>
        </w:rPr>
        <w:fldChar w:fldCharType="separate"/>
      </w:r>
      <w:r>
        <w:rPr>
          <w:rStyle w:val="5"/>
          <w:rFonts w:hint="eastAsia" w:ascii="仿宋_GB2312" w:hAnsi="仿宋_GB2312" w:eastAsia="仿宋_GB2312" w:cs="仿宋_GB2312"/>
          <w:kern w:val="0"/>
          <w:sz w:val="32"/>
          <w:szCs w:val="32"/>
        </w:rPr>
        <w:t>esg@xinhua.org</w:t>
      </w:r>
      <w:r>
        <w:rPr>
          <w:rFonts w:hint="eastAsia" w:ascii="仿宋_GB2312" w:hAnsi="仿宋_GB2312" w:eastAsia="仿宋_GB2312" w:cs="仿宋_GB2312"/>
          <w:kern w:val="0"/>
          <w:sz w:val="32"/>
          <w:szCs w:val="32"/>
          <w:lang w:val="en-US" w:eastAsia="zh-CN" w:bidi="ar"/>
        </w:rPr>
        <w:fldChar w:fldCharType="end"/>
      </w:r>
      <w:bookmarkStart w:id="1" w:name="OLE_LINK3"/>
      <w:bookmarkEnd w:id="1"/>
      <w:r>
        <w:rPr>
          <w:rFonts w:hint="eastAsia" w:ascii="仿宋_GB2312" w:hAnsi="仿宋_GB2312" w:eastAsia="仿宋_GB2312" w:cs="仿宋_GB2312"/>
          <w:kern w:val="0"/>
          <w:sz w:val="32"/>
          <w:szCs w:val="32"/>
          <w:lang w:val="en-US" w:eastAsia="zh-CN" w:bidi="ar"/>
        </w:rPr>
        <w:t>或cn_esg@163.com</w:t>
      </w:r>
    </w:p>
    <w:p w14:paraId="37A41C83">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44" w:firstLineChars="139"/>
        <w:jc w:val="both"/>
        <w:textAlignment w:val="auto"/>
        <w:rPr>
          <w:rFonts w:hint="eastAsia" w:ascii="仿宋_GB2312" w:hAnsi="仿宋_GB2312" w:eastAsia="仿宋_GB2312" w:cs="仿宋_GB2312"/>
          <w:sz w:val="32"/>
          <w:szCs w:val="32"/>
        </w:rPr>
      </w:pPr>
      <w:bookmarkStart w:id="2" w:name="OLE_LINK1"/>
      <w:bookmarkEnd w:id="2"/>
      <w:r>
        <w:rPr>
          <w:rFonts w:hint="eastAsia" w:ascii="仿宋_GB2312" w:hAnsi="仿宋_GB2312" w:eastAsia="仿宋_GB2312" w:cs="仿宋_GB2312"/>
          <w:kern w:val="2"/>
          <w:sz w:val="32"/>
          <w:szCs w:val="32"/>
          <w:lang w:val="en-US" w:eastAsia="zh-CN" w:bidi="ar"/>
        </w:rPr>
        <w:t>咨询电话：</w:t>
      </w:r>
      <w:bookmarkStart w:id="3" w:name="OLE_LINK4"/>
      <w:bookmarkEnd w:id="3"/>
      <w:r>
        <w:rPr>
          <w:rFonts w:hint="eastAsia" w:ascii="仿宋_GB2312" w:hAnsi="仿宋_GB2312" w:eastAsia="仿宋_GB2312" w:cs="仿宋_GB2312"/>
          <w:kern w:val="0"/>
          <w:sz w:val="32"/>
          <w:szCs w:val="32"/>
          <w:lang w:val="en-US" w:eastAsia="zh-CN" w:bidi="ar"/>
        </w:rPr>
        <w:t>（010）88051225 曾老师</w:t>
      </w:r>
    </w:p>
    <w:p w14:paraId="28108EF4">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2041" w:firstLineChars="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（010）63074359 萨老师 </w:t>
      </w:r>
    </w:p>
    <w:p w14:paraId="3E034351">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2041" w:firstLineChars="63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（010）88052722 王老师</w:t>
      </w:r>
    </w:p>
    <w:p w14:paraId="051ED89E">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
        </w:rPr>
        <w:t>四、案例征集主题说明</w:t>
      </w:r>
    </w:p>
    <w:p w14:paraId="3F6CA513">
      <w:pPr>
        <w:keepNext w:val="0"/>
        <w:keepLines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
        </w:rPr>
        <w:t>本次案例征集活动设置如下优秀案例：</w:t>
      </w:r>
    </w:p>
    <w:p w14:paraId="293463D7">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bookmarkStart w:id="4" w:name="OLE_LINK5"/>
      <w:bookmarkEnd w:id="4"/>
      <w:r>
        <w:rPr>
          <w:rFonts w:hint="eastAsia" w:ascii="仿宋_GB2312" w:hAnsi="仿宋_GB2312" w:eastAsia="仿宋_GB2312" w:cs="仿宋_GB2312"/>
          <w:b/>
          <w:bCs/>
          <w:kern w:val="2"/>
          <w:sz w:val="32"/>
          <w:szCs w:val="32"/>
          <w:lang w:val="en-US" w:eastAsia="zh-CN" w:bidi="ar"/>
        </w:rPr>
        <w:t>第四届“新华信用金兰杯”可持续发展年度十大优秀案例。</w:t>
      </w:r>
    </w:p>
    <w:p w14:paraId="1DA885BE">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此案例旨在综合表彰在可持续发展领域做出突出贡献的顶尖实践典范。</w:t>
      </w:r>
    </w:p>
    <w:p w14:paraId="5E8599F7">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
        </w:rPr>
        <w:t>第四届“新华信用金兰杯”可持续发展年度百家优秀案例。</w:t>
      </w:r>
      <w:r>
        <w:rPr>
          <w:rFonts w:hint="eastAsia" w:ascii="仿宋_GB2312" w:hAnsi="仿宋_GB2312" w:eastAsia="仿宋_GB2312" w:cs="仿宋_GB2312"/>
          <w:b/>
          <w:bCs/>
          <w:kern w:val="0"/>
          <w:sz w:val="32"/>
          <w:szCs w:val="32"/>
          <w:lang w:val="en-US" w:eastAsia="zh-CN" w:bidi="ar"/>
        </w:rPr>
        <w:t>各细分领域案例主题如下：</w:t>
      </w:r>
    </w:p>
    <w:p w14:paraId="2DC6BD50">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环境保护优秀案例</w:t>
      </w:r>
    </w:p>
    <w:p w14:paraId="6D6B71DD">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1" w:firstLineChars="21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此主题旨在梳理、评价、发布在生态保护、生物多样性保护、污染治理等领域成效卓著、方法创新且具有广泛示范价值的实践典范。</w:t>
      </w:r>
    </w:p>
    <w:p w14:paraId="1876F7DF">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低碳实践优秀案例</w:t>
      </w:r>
    </w:p>
    <w:p w14:paraId="12362A16">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1" w:firstLineChars="21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此主题旨在梳理、评价、发布在节能减排、碳捕集利用与封存（CCUS）、碳交易等创新技术及方式方面实现自身减碳或碳中和目标的领先实践典范。</w:t>
      </w:r>
    </w:p>
    <w:p w14:paraId="34A007DF">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循环经济优秀案例</w:t>
      </w:r>
    </w:p>
    <w:p w14:paraId="2BF2D760">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15" w:leftChars="7" w:right="0" w:firstLine="665" w:firstLineChars="208"/>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此主题旨在梳理、评价、发布在资源循环利用、绿色低碳技术、产业链协同及社会效益等方面表现卓越的项目典范，展现循环经济推动绿色发展、资源高效利用与公众环保意识提升的作用。</w:t>
      </w:r>
    </w:p>
    <w:p w14:paraId="43493D46">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绿色金融优秀案例</w:t>
      </w:r>
    </w:p>
    <w:p w14:paraId="53AC1245">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此主题旨在梳理、评价、发布在投融资决策中深度融入可持续发展因素，有效引导资本流向绿色领域，支持企业履行环境与社会责任的杰出实践典范。</w:t>
      </w:r>
    </w:p>
    <w:p w14:paraId="0434CE41">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社会责任优秀案例</w:t>
      </w:r>
    </w:p>
    <w:p w14:paraId="00EB5E50">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此主题旨在梳理、评价、发布在乡村振兴、社会公益、科技伦理、中小企业支持、产品/服务质量与安全、供应链安全、数据与隐私保护、员工关怀与发展等方面树立典范的案例。</w:t>
      </w:r>
    </w:p>
    <w:p w14:paraId="7D2503F6">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科技创新优秀案例</w:t>
      </w:r>
    </w:p>
    <w:p w14:paraId="3AA4DA90">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此主题旨在梳理、评价、发布在技术研发、产品创新、数字化转型及跨领域融合等方面，取得显著成果并产生积极经济社会效益的优秀实践典范。</w:t>
      </w:r>
    </w:p>
    <w:p w14:paraId="0DE78FCA">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可持续发展治理优秀案例</w:t>
      </w:r>
    </w:p>
    <w:p w14:paraId="698B93B6">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此主题旨在梳理、评价、发布在治理结构、透明度、独立性、道德标准、股东权益保护、尽职调查、利益相关方沟通、反腐败及反不正当竞争、ESG治理架构、ESG指标管理体系及管理机制等方面表现卓越的案例。</w:t>
      </w:r>
    </w:p>
    <w:p w14:paraId="229F9F2D">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596" w:leftChars="284"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bidi="ar"/>
        </w:rPr>
        <w:t>区域可持续发展优秀案例</w:t>
      </w:r>
    </w:p>
    <w:p w14:paraId="5AAE82C5">
      <w:pPr>
        <w:keepNext w:val="0"/>
        <w:keepLines w:val="0"/>
        <w:widowControl/>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此主题旨在梳理、评价、发布城市、园区及产区在推动区域经济、社会、环境协调共生方面成效卓著的典范，重点考察创新驱动、绿色转型、循环经济、安全与健康、城市治理、民生改善与生态修复成果等。</w:t>
      </w:r>
    </w:p>
    <w:p w14:paraId="4B060275">
      <w:pPr>
        <w:keepNext w:val="0"/>
        <w:keepLines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p>
    <w:p w14:paraId="4F765D60">
      <w:pPr>
        <w:keepNext w:val="0"/>
        <w:keepLines w:val="0"/>
        <w:kinsoku/>
        <w:wordWrap/>
        <w:overflowPunct/>
        <w:topLinePunct w:val="0"/>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97929"/>
    <w:multiLevelType w:val="singleLevel"/>
    <w:tmpl w:val="F8C9792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B1C2B"/>
    <w:rsid w:val="2C1F083A"/>
    <w:rsid w:val="31C0661C"/>
    <w:rsid w:val="4C7B758D"/>
    <w:rsid w:val="56293A3C"/>
    <w:rsid w:val="640B10C9"/>
    <w:rsid w:val="68E068FA"/>
    <w:rsid w:val="7699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1518</Words>
  <Characters>1623</Characters>
  <Lines>0</Lines>
  <Paragraphs>0</Paragraphs>
  <TotalTime>7</TotalTime>
  <ScaleCrop>false</ScaleCrop>
  <LinksUpToDate>false</LinksUpToDate>
  <CharactersWithSpaces>1634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lililililili_ZZ</cp:lastModifiedBy>
  <dcterms:modified xsi:type="dcterms:W3CDTF">2025-07-10T02:35:25Z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eyJoZGlkIjoiMTg3YzRhYWU0ZTU5MGVmYTc3NmRmOGViN2RmYThjZjMiLCJ1c2VySWQiOiI2MzkzMzYyOTEifQ==</vt:lpwstr>
  </property>
  <property fmtid="{D5CDD505-2E9C-101B-9397-08002B2CF9AE}" pid="4" name="ICV">
    <vt:lpwstr>63E2039DD72A4661BA3DC451F0D69FA8_12</vt:lpwstr>
  </property>
</Properties>
</file>