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B0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全国“人工智能+政务”优秀创新场景征集活动方案</w:t>
      </w:r>
    </w:p>
    <w:p w14:paraId="7A484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一、征集类型</w:t>
      </w:r>
    </w:p>
    <w:p w14:paraId="69192B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政务服务类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通过大模型、智能体等人工智能技术，提升政务服务效能的创新应用场景。包括但不限于：智能客服、智能导办、边聊边办、免申即享、智能审批等。通过人工智能技术实现精准识别需求、主动规划服务、全程智能办理的服务新模式。</w:t>
      </w:r>
    </w:p>
    <w:p w14:paraId="3782B2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城市治理类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：聚焦城市精细化管理与基层治理的智能化创新应用场景。包括但不限于：视频AI分析、智能感知预警、城市治理智能体、网格化管理智能化、智慧社区建设等。</w:t>
      </w:r>
    </w:p>
    <w:p w14:paraId="76CF95B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政务办公类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：聚焦政府机关内部办公与决策辅助的智能化创新场景。包括但不限于：智慧公文辅助、智能知识库、政务大模型应用、智能会议管理、政务智能体应用等。</w:t>
      </w:r>
    </w:p>
    <w:p w14:paraId="05D792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政务热线类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：聚焦12345政务服务便民热线领域的智能化创新应用场景。包括但不限于：热线智能问答、工单智能分析、热线数据研判、热线智能回访、智能派单等。</w:t>
      </w:r>
    </w:p>
    <w:p w14:paraId="7BBF680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其他场景类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：除上述类型外，其他围绕“人工智能+政务”的创新应用场景。包括但不限于：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智慧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经济运行、政务数据、城市安全等。</w:t>
      </w:r>
    </w:p>
    <w:p w14:paraId="738B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606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时间安排</w:t>
      </w:r>
    </w:p>
    <w:p w14:paraId="605CD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第一阶段：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开展案例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征集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（5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月2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—7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）。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highlight w:val="none"/>
          <w:lang w:val="en-US" w:eastAsia="zh-CN"/>
        </w:rPr>
        <w:t>主办方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开通申报材料提交及申报咨询通道，申报单位根据要求填写并提交申报材料。</w:t>
      </w:r>
    </w:p>
    <w:p w14:paraId="4D5D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2.第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阶段：进行审核筛查（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8月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日）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。组织专业团队对申报单位及申报材料真实性、合规性、完整性、相关性等进行审核筛查。</w:t>
      </w:r>
    </w:p>
    <w:p w14:paraId="1D34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3.第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阶段：组织专家评审（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月1日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—9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日）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。组织专家组成评审委员会，以线上、线下评审方式对申报案例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创新性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成效性、典型性、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引领性等进行评审，确定各类型案例入选名单。</w:t>
      </w:r>
      <w:bookmarkStart w:id="0" w:name="_GoBack"/>
      <w:bookmarkEnd w:id="0"/>
    </w:p>
    <w:p w14:paraId="0BEDE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4.第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阶段：发送入选通知（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—11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月3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日）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根据专家委员会评审结果，为入选的申报单位发送入选通知。</w:t>
      </w:r>
    </w:p>
    <w:p w14:paraId="2C77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5.第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五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阶段：公开发布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入选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场景统一编撰制作，形成全国“人工智能+政务”优秀创新场景案例集，并通过新华社相关渠道公布。择机组织案例交流分享会，邀请相关单位分享先进经验和典型做法。</w:t>
      </w:r>
    </w:p>
    <w:p w14:paraId="446AB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申报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方式</w:t>
      </w:r>
    </w:p>
    <w:p w14:paraId="1E452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Calibri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申报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案例应按要求填写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《全国“人工智能+政务”优秀创新场景申报书》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，于202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31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日前将电子版申报材料（Word）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及盖章扫描件（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彩色</w:t>
      </w:r>
      <w:r>
        <w:rPr>
          <w:rFonts w:hint="default" w:ascii="仿宋_GB2312" w:hAnsi="Calibri" w:eastAsia="仿宋_GB2312" w:cs="仿宋_GB2312"/>
          <w:sz w:val="32"/>
          <w:szCs w:val="32"/>
          <w:highlight w:val="none"/>
          <w:lang w:val="en-US" w:eastAsia="zh-CN"/>
        </w:rPr>
        <w:t>PDF）统一发送至指定邮箱：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zjsszzfyjzx@163.com。</w:t>
      </w:r>
    </w:p>
    <w:p w14:paraId="41411B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联系咨询</w:t>
      </w:r>
    </w:p>
    <w:p w14:paraId="0F65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隋佳卉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010-88074603</w:t>
      </w:r>
    </w:p>
    <w:p w14:paraId="62655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范云博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010-88053772</w:t>
      </w:r>
    </w:p>
    <w:p w14:paraId="149A06E3">
      <w:pPr>
        <w:rPr>
          <w:rFonts w:hint="default" w:ascii="仿宋_GB2312" w:hAnsi="Calibri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default" w:ascii="仿宋_GB2312" w:hAnsi="Calibri" w:eastAsia="仿宋_GB2312" w:cs="仿宋_GB2312"/>
          <w:sz w:val="32"/>
          <w:szCs w:val="32"/>
          <w:highlight w:val="yellow"/>
          <w:lang w:val="en-US" w:eastAsia="zh-CN"/>
        </w:rPr>
        <w:br w:type="page"/>
      </w:r>
    </w:p>
    <w:p w14:paraId="67AC9BCE">
      <w:pPr>
        <w:shd w:val="clear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全国“人工智能+政务”优秀创新场景</w:t>
      </w:r>
    </w:p>
    <w:p w14:paraId="389E9187">
      <w:pPr>
        <w:shd w:val="clear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 w14:paraId="09767BEA">
      <w:pPr>
        <w:shd w:val="clear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C5560F">
      <w:pPr>
        <w:shd w:val="clear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AE5345">
      <w:pPr>
        <w:shd w:val="clear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856664">
      <w:pPr>
        <w:pStyle w:val="11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0" w:firstLine="560" w:firstLineChars="200"/>
        <w:textAlignment w:val="auto"/>
        <w:rPr>
          <w:rFonts w:hint="default" w:ascii="黑体" w:hAnsi="黑体" w:eastAsia="黑体"/>
          <w:b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sz w:val="28"/>
          <w:szCs w:val="28"/>
          <w:lang w:val="en-US" w:eastAsia="zh-CN"/>
        </w:rPr>
        <w:t>申报类型：</w:t>
      </w:r>
      <w:r>
        <w:rPr>
          <w:rFonts w:hint="eastAsia" w:ascii="黑体" w:hAnsi="黑体" w:eastAsia="黑体"/>
          <w:b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b w:val="0"/>
          <w:sz w:val="28"/>
          <w:szCs w:val="28"/>
          <w:u w:val="single"/>
        </w:rPr>
        <w:t xml:space="preserve">                                        </w:t>
      </w:r>
    </w:p>
    <w:p w14:paraId="14DD514A">
      <w:pPr>
        <w:pStyle w:val="11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left="0" w:firstLine="560" w:firstLineChars="200"/>
        <w:textAlignment w:val="auto"/>
        <w:rPr>
          <w:rFonts w:ascii="黑体" w:hAnsi="黑体" w:eastAsia="黑体"/>
          <w:b w:val="0"/>
          <w:sz w:val="28"/>
          <w:szCs w:val="28"/>
          <w:u w:val="single"/>
        </w:rPr>
      </w:pPr>
      <w:r>
        <w:rPr>
          <w:rFonts w:hint="eastAsia" w:ascii="黑体" w:hAnsi="黑体" w:eastAsia="黑体"/>
          <w:b w:val="0"/>
          <w:sz w:val="28"/>
          <w:szCs w:val="28"/>
        </w:rPr>
        <w:t xml:space="preserve">案例名称： </w:t>
      </w:r>
      <w:r>
        <w:rPr>
          <w:rFonts w:hint="eastAsia" w:ascii="黑体" w:hAnsi="黑体" w:eastAsia="黑体"/>
          <w:b w:val="0"/>
          <w:sz w:val="28"/>
          <w:szCs w:val="28"/>
          <w:u w:val="single"/>
        </w:rPr>
        <w:t xml:space="preserve">                                        </w:t>
      </w:r>
    </w:p>
    <w:p w14:paraId="497922A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560" w:firstLineChars="200"/>
        <w:jc w:val="left"/>
        <w:textAlignment w:val="auto"/>
        <w:rPr>
          <w:rFonts w:ascii="黑体" w:hAnsi="黑体" w:eastAsia="黑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申报单位： </w:t>
      </w:r>
      <w:r>
        <w:rPr>
          <w:rFonts w:hint="eastAsia" w:ascii="黑体" w:hAnsi="黑体" w:eastAsia="黑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767171" w:themeColor="background2" w:themeShade="80"/>
          <w:kern w:val="2"/>
          <w:sz w:val="28"/>
          <w:szCs w:val="28"/>
          <w:u w:val="single"/>
          <w:vertAlign w:val="baseline"/>
          <w:lang w:val="en-US" w:eastAsia="zh-CN" w:bidi="zh-TW"/>
        </w:rPr>
        <w:t>（需加盖公章）</w:t>
      </w:r>
      <w:r>
        <w:rPr>
          <w:rFonts w:hint="eastAsia" w:ascii="黑体" w:hAnsi="黑体" w:eastAsia="黑体"/>
          <w:kern w:val="0"/>
          <w:sz w:val="28"/>
          <w:szCs w:val="28"/>
          <w:u w:val="single"/>
        </w:rPr>
        <w:t xml:space="preserve">              </w:t>
      </w:r>
    </w:p>
    <w:p w14:paraId="41F5C58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560" w:firstLineChars="200"/>
        <w:jc w:val="left"/>
        <w:textAlignment w:val="auto"/>
        <w:rPr>
          <w:rFonts w:ascii="黑体" w:hAnsi="黑体" w:eastAsia="黑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申报日期： </w:t>
      </w:r>
      <w:r>
        <w:rPr>
          <w:rFonts w:hint="eastAsia" w:ascii="黑体" w:hAnsi="黑体" w:eastAsia="黑体"/>
          <w:kern w:val="0"/>
          <w:sz w:val="28"/>
          <w:szCs w:val="28"/>
          <w:u w:val="single"/>
        </w:rPr>
        <w:t xml:space="preserve">                                        </w:t>
      </w:r>
    </w:p>
    <w:p w14:paraId="525D19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</w:p>
    <w:p w14:paraId="3A2344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</w:p>
    <w:p w14:paraId="4D9F7E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</w:p>
    <w:p w14:paraId="51E8F8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</w:p>
    <w:p w14:paraId="130575B5">
      <w:pPr>
        <w:shd w:val="clea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67D9344">
      <w:pPr>
        <w:shd w:val="clear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E3AAC51">
      <w:pPr>
        <w:shd w:val="clear"/>
        <w:jc w:val="center"/>
        <w:rPr>
          <w:rFonts w:hint="default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2"/>
        </w:rPr>
        <w:t>填</w:t>
      </w: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>写说明</w:t>
      </w:r>
    </w:p>
    <w:p w14:paraId="6AB1375E">
      <w:pPr>
        <w:pStyle w:val="12"/>
        <w:numPr>
          <w:ilvl w:val="0"/>
          <w:numId w:val="2"/>
        </w:numPr>
        <w:shd w:val="clear"/>
        <w:tabs>
          <w:tab w:val="left" w:pos="1288"/>
        </w:tabs>
        <w:spacing w:line="586" w:lineRule="exact"/>
        <w:ind w:firstLine="66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申报单位应详细地填写每一部分内容。除另有说明外，申报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</w:rPr>
        <w:t>中栏目不得空缺。</w:t>
      </w:r>
    </w:p>
    <w:p w14:paraId="2F57B857">
      <w:pPr>
        <w:pStyle w:val="12"/>
        <w:numPr>
          <w:ilvl w:val="0"/>
          <w:numId w:val="2"/>
        </w:numPr>
        <w:shd w:val="clear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申报书</w:t>
      </w:r>
      <w:r>
        <w:rPr>
          <w:rFonts w:hint="eastAsia" w:ascii="仿宋_GB2312" w:hAnsi="仿宋_GB2312" w:eastAsia="仿宋_GB2312" w:cs="仿宋_GB2312"/>
        </w:rPr>
        <w:t>封面</w:t>
      </w:r>
      <w:r>
        <w:rPr>
          <w:rFonts w:hint="eastAsia" w:ascii="仿宋_GB2312" w:hAnsi="仿宋_GB2312" w:eastAsia="仿宋_GB2312" w:cs="仿宋_GB2312"/>
          <w:lang w:val="en-US" w:eastAsia="zh-CN"/>
        </w:rPr>
        <w:t>及申报书中</w:t>
      </w:r>
      <w:r>
        <w:rPr>
          <w:rFonts w:hint="eastAsia" w:ascii="仿宋_GB2312" w:hAnsi="仿宋_GB2312" w:eastAsia="仿宋_GB2312" w:cs="仿宋_GB2312"/>
        </w:rPr>
        <w:t>“申报</w:t>
      </w:r>
      <w:r>
        <w:rPr>
          <w:rFonts w:hint="eastAsia" w:ascii="仿宋_GB2312" w:hAnsi="仿宋_GB2312" w:eastAsia="仿宋_GB2312" w:cs="仿宋_GB2312"/>
          <w:lang w:val="en-US" w:eastAsia="zh-CN"/>
        </w:rPr>
        <w:t>类型</w:t>
      </w:r>
      <w:r>
        <w:rPr>
          <w:rFonts w:hint="eastAsia" w:ascii="仿宋_GB2312" w:hAnsi="仿宋_GB2312" w:eastAsia="仿宋_GB2312" w:cs="仿宋_GB2312"/>
        </w:rPr>
        <w:t>”只能填写一个。</w:t>
      </w:r>
    </w:p>
    <w:p w14:paraId="5A1D75F7">
      <w:pPr>
        <w:pStyle w:val="12"/>
        <w:numPr>
          <w:ilvl w:val="0"/>
          <w:numId w:val="2"/>
        </w:numPr>
        <w:shd w:val="clear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案例可由一家单位</w:t>
      </w:r>
      <w:r>
        <w:rPr>
          <w:rFonts w:hint="eastAsia" w:ascii="仿宋_GB2312" w:hAnsi="仿宋_GB2312" w:eastAsia="仿宋_GB2312" w:cs="仿宋_GB2312"/>
          <w:lang w:val="en-US" w:eastAsia="zh-CN"/>
        </w:rPr>
        <w:t>申报，</w:t>
      </w:r>
      <w:r>
        <w:rPr>
          <w:rFonts w:hint="eastAsia" w:ascii="仿宋_GB2312" w:hAnsi="仿宋_GB2312" w:eastAsia="仿宋_GB2312" w:cs="仿宋_GB2312"/>
        </w:rPr>
        <w:t>也可以由多家单位联合</w:t>
      </w:r>
      <w:r>
        <w:rPr>
          <w:rFonts w:hint="eastAsia" w:ascii="仿宋_GB2312" w:hAnsi="仿宋_GB2312" w:eastAsia="仿宋_GB2312" w:cs="仿宋_GB2312"/>
          <w:lang w:val="en-US" w:eastAsia="zh-CN"/>
        </w:rPr>
        <w:t>申报，</w:t>
      </w:r>
      <w:r>
        <w:rPr>
          <w:rFonts w:hint="eastAsia" w:ascii="仿宋_GB2312" w:hAnsi="仿宋_GB2312" w:eastAsia="仿宋_GB2312" w:cs="仿宋_GB2312"/>
        </w:rPr>
        <w:t>由案例牵头单位组织编写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申报书封面“申报单位”处仅需填写牵头单位名称，加盖牵头单位公章。</w:t>
      </w:r>
    </w:p>
    <w:p w14:paraId="0155E89D">
      <w:pPr>
        <w:pStyle w:val="12"/>
        <w:numPr>
          <w:ilvl w:val="0"/>
          <w:numId w:val="2"/>
        </w:numPr>
        <w:shd w:val="clear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</w:rPr>
        <w:t>申报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</w:rPr>
        <w:t>所申报的案例需拥有自主知识产权，对提供的全部资料的真实性负责，并签署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</w:rPr>
        <w:t>声明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</w:rPr>
        <w:t>。</w:t>
      </w:r>
    </w:p>
    <w:p w14:paraId="73213400">
      <w:pPr>
        <w:pStyle w:val="12"/>
        <w:numPr>
          <w:ilvl w:val="0"/>
          <w:numId w:val="2"/>
        </w:numPr>
        <w:shd w:val="clear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</w:rPr>
        <w:t>申报材料要求盖章处，须加盖公章，复印无效，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如有</w:t>
      </w:r>
      <w:r>
        <w:rPr>
          <w:rFonts w:hint="eastAsia" w:ascii="仿宋_GB2312" w:hAnsi="仿宋_GB2312" w:eastAsia="仿宋_GB2312" w:cs="仿宋_GB2312"/>
          <w:color w:val="000000"/>
        </w:rPr>
        <w:t>案例成果证明材料作为附件一并提交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。</w:t>
      </w:r>
    </w:p>
    <w:p w14:paraId="56F2A839">
      <w:pPr>
        <w:pStyle w:val="12"/>
        <w:numPr>
          <w:ilvl w:val="0"/>
          <w:numId w:val="2"/>
        </w:numPr>
        <w:shd w:val="clear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编写人员应客观、真实地填报案例材料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遵守国家有关知识产权法规。在案例中引用他人研究成果时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必须注明出处。对于伪造、篡改数据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抄袭或剽窃他人成果等不端行为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一经查实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将取消参评资格。</w:t>
      </w:r>
    </w:p>
    <w:p w14:paraId="58013828">
      <w:pPr>
        <w:pStyle w:val="12"/>
        <w:numPr>
          <w:ilvl w:val="0"/>
          <w:numId w:val="2"/>
        </w:numPr>
        <w:shd w:val="clear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</w:rPr>
        <w:t>案例内容要简明扼要描述建设背景、主要做法、应用场景、应用成效等，字数原则上控制在2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</w:rPr>
        <w:t>00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字左右</w:t>
      </w:r>
      <w:r>
        <w:rPr>
          <w:rFonts w:hint="eastAsia" w:ascii="仿宋_GB2312" w:hAnsi="仿宋_GB2312" w:eastAsia="仿宋_GB2312" w:cs="仿宋_GB2312"/>
          <w:color w:val="000000"/>
        </w:rPr>
        <w:t>，可提供2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000000"/>
        </w:rPr>
        <w:t>3张有代表性的图片。</w:t>
      </w:r>
    </w:p>
    <w:p w14:paraId="372EB2BF">
      <w:pPr>
        <w:pStyle w:val="12"/>
        <w:numPr>
          <w:ilvl w:val="0"/>
          <w:numId w:val="2"/>
        </w:numPr>
        <w:shd w:val="clear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需提交</w:t>
      </w:r>
      <w:r>
        <w:rPr>
          <w:rFonts w:hint="eastAsia" w:ascii="仿宋_GB2312" w:hAnsi="仿宋_GB2312" w:eastAsia="仿宋_GB2312" w:cs="仿宋_GB2312"/>
          <w:color w:val="000000"/>
        </w:rPr>
        <w:t>电子版申报材料（Word）及盖章扫描件（彩色PDF）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</w:rPr>
        <w:t>盖章扫描件全部内容合并为一个文件。</w:t>
      </w:r>
    </w:p>
    <w:p w14:paraId="7520E6C8">
      <w:pPr>
        <w:pStyle w:val="5"/>
        <w:rPr>
          <w:rFonts w:hint="eastAsia"/>
          <w:lang w:val="en-US" w:eastAsia="zh-CN"/>
        </w:rPr>
      </w:pPr>
    </w:p>
    <w:p w14:paraId="23FA1B4B">
      <w:pPr>
        <w:pStyle w:val="5"/>
        <w:rPr>
          <w:rFonts w:hint="eastAsia"/>
          <w:lang w:val="en-US" w:eastAsia="zh-CN"/>
        </w:rPr>
      </w:pPr>
    </w:p>
    <w:p w14:paraId="5A655663">
      <w:pPr>
        <w:shd w:val="clear"/>
        <w:jc w:val="center"/>
        <w:rPr>
          <w:rFonts w:hint="eastAsia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>承诺声明</w:t>
      </w:r>
    </w:p>
    <w:p w14:paraId="6BD5B14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246EE9E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本次申报的所有材料均真实、完整，如有不实，愿承担相应的责任。</w:t>
      </w:r>
    </w:p>
    <w:p w14:paraId="1EEB313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在不涉及商业机密的情况下，自愿与其他单位分享经验。</w:t>
      </w:r>
    </w:p>
    <w:p w14:paraId="4FEEEC9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特此承诺。</w:t>
      </w:r>
    </w:p>
    <w:p w14:paraId="07E5CBC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 w14:paraId="675A62B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FBE634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E570EF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00" w:firstLineChars="200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公章：            </w:t>
      </w:r>
    </w:p>
    <w:p w14:paraId="0B11DFD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年  月  日</w:t>
      </w:r>
    </w:p>
    <w:p w14:paraId="3D7D9243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br w:type="page"/>
      </w:r>
    </w:p>
    <w:p w14:paraId="04E87C8A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6" w:lineRule="exact"/>
        <w:ind w:firstLine="403"/>
        <w:jc w:val="left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基本信息</w:t>
      </w: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740"/>
        <w:gridCol w:w="1573"/>
        <w:gridCol w:w="2711"/>
      </w:tblGrid>
      <w:tr w14:paraId="73B7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19" w:type="dxa"/>
            <w:gridSpan w:val="4"/>
          </w:tcPr>
          <w:p w14:paraId="1CA7C07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（牵头）单位信息</w:t>
            </w:r>
          </w:p>
        </w:tc>
      </w:tr>
      <w:tr w14:paraId="71A1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95" w:type="dxa"/>
            <w:vAlign w:val="center"/>
          </w:tcPr>
          <w:p w14:paraId="11F06AD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40" w:type="dxa"/>
            <w:vAlign w:val="center"/>
          </w:tcPr>
          <w:p w14:paraId="7B8FD51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464A2E0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711" w:type="dxa"/>
            <w:vAlign w:val="center"/>
          </w:tcPr>
          <w:p w14:paraId="6440AC7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BE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95" w:type="dxa"/>
            <w:vAlign w:val="center"/>
          </w:tcPr>
          <w:p w14:paraId="21354D0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740" w:type="dxa"/>
            <w:vAlign w:val="center"/>
          </w:tcPr>
          <w:p w14:paraId="4CA10B8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2B10A80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711" w:type="dxa"/>
            <w:vAlign w:val="center"/>
          </w:tcPr>
          <w:p w14:paraId="50E14E1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AA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95" w:type="dxa"/>
            <w:vAlign w:val="center"/>
          </w:tcPr>
          <w:p w14:paraId="5F39BA4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40" w:type="dxa"/>
            <w:vAlign w:val="center"/>
          </w:tcPr>
          <w:p w14:paraId="3E3588C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13D2AC6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711" w:type="dxa"/>
            <w:vAlign w:val="center"/>
          </w:tcPr>
          <w:p w14:paraId="2561557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76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519" w:type="dxa"/>
            <w:gridSpan w:val="4"/>
            <w:vAlign w:val="center"/>
          </w:tcPr>
          <w:p w14:paraId="7A60A56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联系人信息</w:t>
            </w:r>
          </w:p>
        </w:tc>
      </w:tr>
      <w:tr w14:paraId="4806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95" w:type="dxa"/>
            <w:vAlign w:val="center"/>
          </w:tcPr>
          <w:p w14:paraId="04B7932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740" w:type="dxa"/>
            <w:vAlign w:val="center"/>
          </w:tcPr>
          <w:p w14:paraId="53A9681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73FC646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711" w:type="dxa"/>
            <w:vAlign w:val="center"/>
          </w:tcPr>
          <w:p w14:paraId="0064DCA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D84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95" w:type="dxa"/>
            <w:vAlign w:val="center"/>
          </w:tcPr>
          <w:p w14:paraId="6FC32F5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740" w:type="dxa"/>
            <w:vAlign w:val="center"/>
          </w:tcPr>
          <w:p w14:paraId="680613D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6FE410B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11" w:type="dxa"/>
            <w:vAlign w:val="center"/>
          </w:tcPr>
          <w:p w14:paraId="42B800C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E32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519" w:type="dxa"/>
            <w:gridSpan w:val="4"/>
            <w:vAlign w:val="center"/>
          </w:tcPr>
          <w:p w14:paraId="6BD296A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联合单位信息</w:t>
            </w:r>
          </w:p>
        </w:tc>
      </w:tr>
      <w:tr w14:paraId="3975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95" w:type="dxa"/>
            <w:vAlign w:val="center"/>
          </w:tcPr>
          <w:p w14:paraId="34761CB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40" w:type="dxa"/>
            <w:vAlign w:val="center"/>
          </w:tcPr>
          <w:p w14:paraId="122EFC0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0529993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11" w:type="dxa"/>
            <w:vAlign w:val="center"/>
          </w:tcPr>
          <w:p w14:paraId="6AFFAB5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42A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95" w:type="dxa"/>
            <w:vAlign w:val="center"/>
          </w:tcPr>
          <w:p w14:paraId="2A1526C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40" w:type="dxa"/>
            <w:vAlign w:val="center"/>
          </w:tcPr>
          <w:p w14:paraId="627FA2C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56F6D89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711" w:type="dxa"/>
            <w:vAlign w:val="center"/>
          </w:tcPr>
          <w:p w14:paraId="3866FA2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4AA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95" w:type="dxa"/>
            <w:vAlign w:val="center"/>
          </w:tcPr>
          <w:p w14:paraId="017FB43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40" w:type="dxa"/>
            <w:vAlign w:val="center"/>
          </w:tcPr>
          <w:p w14:paraId="4BE31DB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3298AD7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11" w:type="dxa"/>
            <w:vAlign w:val="center"/>
          </w:tcPr>
          <w:p w14:paraId="069605E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06E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95" w:type="dxa"/>
            <w:vAlign w:val="center"/>
          </w:tcPr>
          <w:p w14:paraId="0BE781C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40" w:type="dxa"/>
            <w:vAlign w:val="center"/>
          </w:tcPr>
          <w:p w14:paraId="3112685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56F053F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711" w:type="dxa"/>
            <w:vAlign w:val="center"/>
          </w:tcPr>
          <w:p w14:paraId="224FA53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6B21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95" w:type="dxa"/>
            <w:vAlign w:val="center"/>
          </w:tcPr>
          <w:p w14:paraId="49DE61BE">
            <w:pPr>
              <w:pStyle w:val="12"/>
              <w:numPr>
                <w:ilvl w:val="0"/>
                <w:numId w:val="0"/>
              </w:numPr>
              <w:tabs>
                <w:tab w:val="left" w:pos="1288"/>
              </w:tabs>
              <w:spacing w:beforeLines="0" w:afterLines="0" w:line="586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40" w:type="dxa"/>
            <w:vAlign w:val="center"/>
          </w:tcPr>
          <w:p w14:paraId="5916B87B">
            <w:pPr>
              <w:pStyle w:val="12"/>
              <w:numPr>
                <w:ilvl w:val="0"/>
                <w:numId w:val="0"/>
              </w:numPr>
              <w:tabs>
                <w:tab w:val="left" w:pos="1288"/>
              </w:tabs>
              <w:spacing w:beforeLines="0" w:afterLines="0" w:line="586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58A88E56">
            <w:pPr>
              <w:pStyle w:val="12"/>
              <w:numPr>
                <w:ilvl w:val="0"/>
                <w:numId w:val="0"/>
              </w:numPr>
              <w:tabs>
                <w:tab w:val="left" w:pos="1288"/>
              </w:tabs>
              <w:spacing w:beforeLines="0" w:afterLines="0" w:line="586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711" w:type="dxa"/>
            <w:vAlign w:val="center"/>
          </w:tcPr>
          <w:p w14:paraId="4C130E99">
            <w:pPr>
              <w:pStyle w:val="12"/>
              <w:numPr>
                <w:ilvl w:val="0"/>
                <w:numId w:val="0"/>
              </w:numPr>
              <w:tabs>
                <w:tab w:val="left" w:pos="1288"/>
              </w:tabs>
              <w:spacing w:beforeLines="0" w:afterLines="0" w:line="586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zh-TW"/>
              </w:rPr>
            </w:pPr>
          </w:p>
        </w:tc>
      </w:tr>
      <w:tr w14:paraId="7718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95" w:type="dxa"/>
            <w:vAlign w:val="center"/>
          </w:tcPr>
          <w:p w14:paraId="4B5D47B2">
            <w:pPr>
              <w:pStyle w:val="12"/>
              <w:numPr>
                <w:ilvl w:val="0"/>
                <w:numId w:val="0"/>
              </w:numPr>
              <w:tabs>
                <w:tab w:val="left" w:pos="1288"/>
              </w:tabs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740" w:type="dxa"/>
            <w:vAlign w:val="center"/>
          </w:tcPr>
          <w:p w14:paraId="2E3362CE">
            <w:pPr>
              <w:pStyle w:val="12"/>
              <w:numPr>
                <w:ilvl w:val="0"/>
                <w:numId w:val="0"/>
              </w:numPr>
              <w:tabs>
                <w:tab w:val="left" w:pos="1288"/>
              </w:tabs>
              <w:spacing w:beforeLines="0" w:afterLines="0" w:line="586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zh-TW"/>
              </w:rPr>
            </w:pPr>
          </w:p>
        </w:tc>
        <w:tc>
          <w:tcPr>
            <w:tcW w:w="1573" w:type="dxa"/>
            <w:vAlign w:val="center"/>
          </w:tcPr>
          <w:p w14:paraId="402FB4BC">
            <w:pPr>
              <w:pStyle w:val="12"/>
              <w:numPr>
                <w:ilvl w:val="0"/>
                <w:numId w:val="0"/>
              </w:numPr>
              <w:tabs>
                <w:tab w:val="left" w:pos="1288"/>
              </w:tabs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2711" w:type="dxa"/>
            <w:vAlign w:val="center"/>
          </w:tcPr>
          <w:p w14:paraId="4D04F351">
            <w:pPr>
              <w:pStyle w:val="12"/>
              <w:numPr>
                <w:ilvl w:val="0"/>
                <w:numId w:val="0"/>
              </w:numPr>
              <w:tabs>
                <w:tab w:val="left" w:pos="1288"/>
              </w:tabs>
              <w:spacing w:beforeLines="0" w:afterLines="0" w:line="586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zh-TW"/>
              </w:rPr>
            </w:pPr>
          </w:p>
        </w:tc>
      </w:tr>
    </w:tbl>
    <w:p w14:paraId="05309F3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1DA83DF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632B98C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A64D115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6" w:lineRule="exact"/>
        <w:ind w:firstLine="403"/>
        <w:jc w:val="left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申报案例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872"/>
      </w:tblGrid>
      <w:tr w14:paraId="077B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0" w:type="dxa"/>
            <w:vAlign w:val="center"/>
          </w:tcPr>
          <w:p w14:paraId="13F867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zh-TW"/>
              </w:rPr>
              <w:t>案例名称</w:t>
            </w:r>
          </w:p>
        </w:tc>
        <w:tc>
          <w:tcPr>
            <w:tcW w:w="6872" w:type="dxa"/>
            <w:vAlign w:val="center"/>
          </w:tcPr>
          <w:p w14:paraId="538B74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</w:p>
        </w:tc>
      </w:tr>
      <w:tr w14:paraId="4C8C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650" w:type="dxa"/>
            <w:vAlign w:val="center"/>
          </w:tcPr>
          <w:p w14:paraId="7D9D34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zh-TW"/>
              </w:rPr>
              <w:t>申报类型</w:t>
            </w:r>
          </w:p>
        </w:tc>
        <w:tc>
          <w:tcPr>
            <w:tcW w:w="6872" w:type="dxa"/>
            <w:vAlign w:val="center"/>
          </w:tcPr>
          <w:p w14:paraId="7D578C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zh-TW"/>
              </w:rPr>
              <w:t xml:space="preserve">□政务服务类 □城市治理类 □政务办公类 </w:t>
            </w:r>
          </w:p>
          <w:p w14:paraId="223973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zh-TW"/>
              </w:rPr>
              <w:t>□政务热线类 □其他场景类</w:t>
            </w:r>
          </w:p>
        </w:tc>
      </w:tr>
      <w:tr w14:paraId="7A36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650" w:type="dxa"/>
            <w:vAlign w:val="center"/>
          </w:tcPr>
          <w:p w14:paraId="397E3A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zh-TW"/>
              </w:rPr>
              <w:t>案例简介</w:t>
            </w:r>
          </w:p>
        </w:tc>
        <w:tc>
          <w:tcPr>
            <w:tcW w:w="6872" w:type="dxa"/>
            <w:vAlign w:val="center"/>
          </w:tcPr>
          <w:p w14:paraId="317F79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  <w:color w:val="767171" w:themeColor="background2" w:themeShade="8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67171" w:themeColor="background2" w:themeShade="80"/>
                <w:kern w:val="2"/>
                <w:sz w:val="28"/>
                <w:szCs w:val="28"/>
                <w:vertAlign w:val="baseline"/>
                <w:lang w:val="en-US" w:eastAsia="zh-CN" w:bidi="zh-TW"/>
              </w:rPr>
              <w:t>简要介绍案例主要做法和成效，300字左右</w:t>
            </w:r>
          </w:p>
        </w:tc>
      </w:tr>
      <w:tr w14:paraId="79C6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2" w:hRule="atLeast"/>
        </w:trPr>
        <w:tc>
          <w:tcPr>
            <w:tcW w:w="1650" w:type="dxa"/>
            <w:vAlign w:val="center"/>
          </w:tcPr>
          <w:p w14:paraId="110BE8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zh-TW"/>
              </w:rPr>
              <w:t>案例内容</w:t>
            </w:r>
          </w:p>
        </w:tc>
        <w:tc>
          <w:tcPr>
            <w:tcW w:w="6872" w:type="dxa"/>
            <w:vAlign w:val="center"/>
          </w:tcPr>
          <w:p w14:paraId="08B514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67171" w:themeColor="background2" w:themeShade="80"/>
                <w:kern w:val="2"/>
                <w:sz w:val="28"/>
                <w:szCs w:val="28"/>
                <w:vertAlign w:val="baseline"/>
                <w:lang w:val="en-US" w:eastAsia="zh-CN" w:bidi="zh-TW"/>
              </w:rPr>
              <w:t>从建设背景、主要做法、应用场景、应用成效等方面介绍案例的实际情况，2500字左右</w:t>
            </w:r>
          </w:p>
        </w:tc>
      </w:tr>
    </w:tbl>
    <w:p w14:paraId="5CC7F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94F4B"/>
    <w:multiLevelType w:val="singleLevel"/>
    <w:tmpl w:val="C9194F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31834E"/>
    <w:multiLevelType w:val="singleLevel"/>
    <w:tmpl w:val="2C3183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30D7D8"/>
    <w:multiLevelType w:val="singleLevel"/>
    <w:tmpl w:val="6F30D7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B6561"/>
    <w:rsid w:val="03F30086"/>
    <w:rsid w:val="060B6561"/>
    <w:rsid w:val="2B956DFA"/>
    <w:rsid w:val="2F7303A8"/>
    <w:rsid w:val="36AB441F"/>
    <w:rsid w:val="43BD795E"/>
    <w:rsid w:val="6A16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微软雅黑" w:hAnsi="微软雅黑" w:eastAsia="微软雅黑" w:cs="微软雅黑"/>
      <w:kern w:val="0"/>
      <w:sz w:val="20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封面填写项"/>
    <w:qFormat/>
    <w:uiPriority w:val="0"/>
    <w:pPr>
      <w:widowControl/>
      <w:spacing w:line="360" w:lineRule="auto"/>
      <w:ind w:left="1020"/>
      <w:jc w:val="both"/>
    </w:pPr>
    <w:rPr>
      <w:rFonts w:ascii="仿宋_GB2312" w:hAnsi="Arial" w:eastAsia="仿宋_GB2312" w:cs="Times New Roman"/>
      <w:b/>
      <w:kern w:val="0"/>
      <w:sz w:val="32"/>
      <w:szCs w:val="32"/>
      <w:lang w:val="en-US" w:eastAsia="zh-CN" w:bidi="ar-SA"/>
    </w:rPr>
  </w:style>
  <w:style w:type="paragraph" w:customStyle="1" w:styleId="12">
    <w:name w:val="Body text|1"/>
    <w:qFormat/>
    <w:uiPriority w:val="0"/>
    <w:pPr>
      <w:widowControl w:val="0"/>
      <w:spacing w:line="413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75756e63-a96b-4758-8087-2eb78982b120</errorID>
      <errorWord>免申即享</errorWord>
      <group>L1_Political</group>
      <groupName>政治性问题</groupName>
      <ability>L2_Keyword</ability>
      <abilityName>固定表述</abilityName>
      <candidateList>
        <item>“免申即享”</item>
      </candidateList>
      <explain>注意检查当前固定表述标点是否使用规范。</explain>
      <paraID>69192BEF</paraID>
      <start>61</start>
      <end>65</end>
      <status>unmodified</status>
      <modifiedWord/>
      <trackRevisions>false</trackRevisions>
    </reviewItem>
    <reviewItem>
      <errorID>06c9bad1-c9fb-4549-bce8-b04685d150a4</errorID>
      <errorWord>11月31日</errorWord>
      <group>L1_Knowledge</group>
      <groupName>知识性问题</groupName>
      <ability>L2_Time</ability>
      <abilityName>日期时间</abilityName>
      <candidateList/>
      <explain>每年的四、六、九、十一月仅有30天。</explain>
      <paraID> BEDE928</paraID>
      <start>20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c73a9d6-4eee-4326-a9c8-8a6df0696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867</Words>
  <Characters>933</Characters>
  <Lines>0</Lines>
  <Paragraphs>0</Paragraphs>
  <TotalTime>9</TotalTime>
  <ScaleCrop>false</ScaleCrop>
  <LinksUpToDate>false</LinksUpToDate>
  <CharactersWithSpaces>935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2026-05-21T15:05:00Z</dcterms:created>
  <dc:creator>Naomie</dc:creator>
  <cp:lastModifiedBy>程沥娇</cp:lastModifiedBy>
  <dcterms:modified xsi:type="dcterms:W3CDTF">2026-05-28T07:53:16Z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70CC58FD46C74E6C8E5A7498B084DFAE_13</vt:lpwstr>
  </property>
  <property fmtid="{D5CDD505-2E9C-101B-9397-08002B2CF9AE}" pid="4" name="KSOTemplateDocerSaveRecord">
    <vt:lpwstr>eyJoZGlkIjoiNmYwYjgwMDFmOWY1MDU2MzhlNGFmZGI2NjhhYmE3MzgiLCJ1c2VySWQiOiIyMDk5MjA3NCJ9</vt:lpwstr>
  </property>
</Properties>
</file>